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8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Fahrzeuge des zentralisierten Fuhrparks für 2027 (Leasing)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